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ECC" w:rsidRDefault="00646ECC" w:rsidP="00646ECC">
      <w:pPr>
        <w:pStyle w:val="Nagwek2"/>
      </w:pPr>
      <w:bookmarkStart w:id="0" w:name="_Toc210822003"/>
    </w:p>
    <w:p w:rsidR="00646ECC" w:rsidRDefault="00646ECC" w:rsidP="00646ECC">
      <w:pPr>
        <w:pStyle w:val="Nagwek2"/>
      </w:pPr>
      <w:r w:rsidRPr="00C87741">
        <w:t xml:space="preserve">DYSK USB </w:t>
      </w:r>
      <w:r>
        <w:t xml:space="preserve">DO </w:t>
      </w:r>
      <w:r w:rsidRPr="00C87741">
        <w:t>PRZECHOWYWANIA</w:t>
      </w:r>
      <w:r>
        <w:t xml:space="preserve"> </w:t>
      </w:r>
      <w:r w:rsidRPr="00C87741">
        <w:t>KOPII</w:t>
      </w:r>
      <w:r>
        <w:t xml:space="preserve"> </w:t>
      </w:r>
      <w:r w:rsidRPr="00C87741">
        <w:t>ZAPASOWYCH</w:t>
      </w:r>
      <w:r>
        <w:t xml:space="preserve"> – 3 SZT</w:t>
      </w:r>
      <w:bookmarkEnd w:id="0"/>
      <w:r>
        <w:t xml:space="preserve"> </w:t>
      </w:r>
    </w:p>
    <w:p w:rsidR="00646ECC" w:rsidRPr="00EB135C" w:rsidRDefault="00646ECC" w:rsidP="00646ECC"/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814"/>
        <w:gridCol w:w="8109"/>
      </w:tblGrid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b/>
                <w:sz w:val="20"/>
              </w:rPr>
              <w:t>L.P</w:t>
            </w:r>
          </w:p>
        </w:tc>
        <w:tc>
          <w:tcPr>
            <w:tcW w:w="1814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b/>
                <w:sz w:val="20"/>
              </w:rPr>
              <w:t>Parametr</w:t>
            </w:r>
          </w:p>
        </w:tc>
        <w:tc>
          <w:tcPr>
            <w:tcW w:w="8109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b/>
                <w:sz w:val="20"/>
              </w:rPr>
              <w:t>Charakterystyka (wymagania minimalne)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1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Przeznaczenie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Zewnętrzna pamięć masowa do archiwizacji  danych funkcja magazynu danych, przenoszenie i archiwizacja plików.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2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Pojemność nominalna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Minimum 2 TB netto wg deklaracji producenta; akceptowane pojemności wyższe. W ofercie wskazać model i pojemność.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3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Interfejs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 xml:space="preserve">USB 3.x </w:t>
            </w:r>
            <w:proofErr w:type="spellStart"/>
            <w:r w:rsidRPr="00646ECC">
              <w:rPr>
                <w:rFonts w:cstheme="minorHAnsi"/>
                <w:sz w:val="20"/>
              </w:rPr>
              <w:t>SuperSpeed</w:t>
            </w:r>
            <w:proofErr w:type="spellEnd"/>
            <w:r w:rsidRPr="00646ECC">
              <w:rPr>
                <w:rFonts w:cstheme="minorHAnsi"/>
                <w:sz w:val="20"/>
              </w:rPr>
              <w:t xml:space="preserve"> lub równoważny standard zapewniający kompatybilność w dół z USB 2.0; przewód w komplecie.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4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Zasilanie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Wyłącznie z portu USB; bez zewnętrznego zasilacza.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5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Zgodność z OS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Praca po podłączeniu (plug</w:t>
            </w:r>
            <w:r w:rsidRPr="00646ECC">
              <w:rPr>
                <w:rFonts w:ascii="Cambria Math" w:hAnsi="Cambria Math" w:cs="Cambria Math"/>
                <w:sz w:val="20"/>
              </w:rPr>
              <w:t>‑</w:t>
            </w:r>
            <w:r w:rsidRPr="00646ECC">
              <w:rPr>
                <w:rFonts w:cstheme="minorHAnsi"/>
                <w:sz w:val="20"/>
              </w:rPr>
              <w:t>and</w:t>
            </w:r>
            <w:r w:rsidRPr="00646ECC">
              <w:rPr>
                <w:rFonts w:ascii="Cambria Math" w:hAnsi="Cambria Math" w:cs="Cambria Math"/>
                <w:sz w:val="20"/>
              </w:rPr>
              <w:t>‑</w:t>
            </w:r>
            <w:proofErr w:type="spellStart"/>
            <w:r w:rsidRPr="00646ECC">
              <w:rPr>
                <w:rFonts w:cstheme="minorHAnsi"/>
                <w:sz w:val="20"/>
              </w:rPr>
              <w:t>play</w:t>
            </w:r>
            <w:proofErr w:type="spellEnd"/>
            <w:r w:rsidRPr="00646ECC">
              <w:rPr>
                <w:rFonts w:cstheme="minorHAnsi"/>
                <w:sz w:val="20"/>
              </w:rPr>
              <w:t>) w systemach Windows 10/11 bez instalacji dodatkowych sterowników; oprogramowanie producenta dopuszczalne jako opcjonalne.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6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Wydajność interfejsu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 xml:space="preserve">Minimalna przepustowość interfejsowa 5 </w:t>
            </w:r>
            <w:proofErr w:type="spellStart"/>
            <w:r w:rsidRPr="00646ECC">
              <w:rPr>
                <w:rFonts w:cstheme="minorHAnsi"/>
                <w:sz w:val="20"/>
              </w:rPr>
              <w:t>Gbit</w:t>
            </w:r>
            <w:proofErr w:type="spellEnd"/>
            <w:r w:rsidRPr="00646ECC">
              <w:rPr>
                <w:rFonts w:cstheme="minorHAnsi"/>
                <w:sz w:val="20"/>
              </w:rPr>
              <w:t>/s (USB 3.x); brak wymogu deklaracji MB/s.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7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Form</w:t>
            </w:r>
            <w:r w:rsidRPr="00646ECC">
              <w:rPr>
                <w:rFonts w:ascii="Cambria Math" w:hAnsi="Cambria Math" w:cs="Cambria Math"/>
                <w:sz w:val="20"/>
              </w:rPr>
              <w:t>‑</w:t>
            </w:r>
            <w:proofErr w:type="spellStart"/>
            <w:r w:rsidRPr="00646ECC">
              <w:rPr>
                <w:rFonts w:cstheme="minorHAnsi"/>
                <w:sz w:val="20"/>
              </w:rPr>
              <w:t>factor</w:t>
            </w:r>
            <w:proofErr w:type="spellEnd"/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Urządzenie przenośne 2,5", obudowa kompaktowa do pracy mobilnej.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8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Wymiary i masa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Maksymalne wymiary: długość ≤ 120 mm; szerokość ≤ 85 mm; wysokość ≤ 21 mm; masa ≤ 0,30 kg dla wersji 2 TB; dopuszczalne do 0,55 kg dla wersji 3–5 TB.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9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Temperatura pracy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Zakres eksploatacyjny min. 5–35°C, zgodnie z deklaracją producenta.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10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Akcesoria</w:t>
            </w:r>
          </w:p>
        </w:tc>
        <w:tc>
          <w:tcPr>
            <w:tcW w:w="8109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Kabel USB o długości co najmniej 45 cm; instrukcja szybkiego startu w języku polskim lub angielskim.</w:t>
            </w:r>
          </w:p>
        </w:tc>
      </w:tr>
      <w:tr w:rsidR="00646ECC" w:rsidRPr="00646ECC" w:rsidTr="004B6BFB">
        <w:tc>
          <w:tcPr>
            <w:tcW w:w="568" w:type="dxa"/>
            <w:vAlign w:val="center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11</w:t>
            </w:r>
          </w:p>
        </w:tc>
        <w:tc>
          <w:tcPr>
            <w:tcW w:w="1814" w:type="dxa"/>
          </w:tcPr>
          <w:p w:rsidR="00646ECC" w:rsidRPr="00646ECC" w:rsidRDefault="00646ECC" w:rsidP="004B6BFB">
            <w:pPr>
              <w:rPr>
                <w:rFonts w:cstheme="minorHAnsi"/>
                <w:sz w:val="20"/>
              </w:rPr>
            </w:pPr>
            <w:r w:rsidRPr="00646ECC">
              <w:rPr>
                <w:rFonts w:cstheme="minorHAnsi"/>
                <w:sz w:val="20"/>
              </w:rPr>
              <w:t>Gwarancja</w:t>
            </w:r>
          </w:p>
        </w:tc>
        <w:tc>
          <w:tcPr>
            <w:tcW w:w="8109" w:type="dxa"/>
          </w:tcPr>
          <w:p w:rsidR="00646ECC" w:rsidRPr="00646ECC" w:rsidRDefault="00252824" w:rsidP="00252824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Minimum 24</w:t>
            </w:r>
            <w:bookmarkStart w:id="1" w:name="_GoBack"/>
            <w:bookmarkEnd w:id="1"/>
            <w:r w:rsidR="00646ECC" w:rsidRPr="00646ECC">
              <w:rPr>
                <w:rFonts w:cstheme="minorHAnsi"/>
                <w:sz w:val="20"/>
              </w:rPr>
              <w:t xml:space="preserve"> miesięcy serwisu </w:t>
            </w:r>
            <w:proofErr w:type="spellStart"/>
            <w:r w:rsidR="00646ECC" w:rsidRPr="00646ECC">
              <w:rPr>
                <w:rFonts w:cstheme="minorHAnsi"/>
                <w:sz w:val="20"/>
              </w:rPr>
              <w:t>door</w:t>
            </w:r>
            <w:proofErr w:type="spellEnd"/>
            <w:r w:rsidR="00646ECC" w:rsidRPr="00646ECC">
              <w:rPr>
                <w:rFonts w:ascii="Cambria Math" w:hAnsi="Cambria Math" w:cs="Cambria Math"/>
                <w:sz w:val="20"/>
              </w:rPr>
              <w:t>‑</w:t>
            </w:r>
            <w:r w:rsidR="00646ECC" w:rsidRPr="00646ECC">
              <w:rPr>
                <w:rFonts w:cstheme="minorHAnsi"/>
                <w:sz w:val="20"/>
              </w:rPr>
              <w:t>to</w:t>
            </w:r>
            <w:r w:rsidR="00646ECC" w:rsidRPr="00646ECC">
              <w:rPr>
                <w:rFonts w:ascii="Cambria Math" w:hAnsi="Cambria Math" w:cs="Cambria Math"/>
                <w:sz w:val="20"/>
              </w:rPr>
              <w:t>‑</w:t>
            </w:r>
            <w:proofErr w:type="spellStart"/>
            <w:r w:rsidR="00646ECC" w:rsidRPr="00646ECC">
              <w:rPr>
                <w:rFonts w:cstheme="minorHAnsi"/>
                <w:sz w:val="20"/>
              </w:rPr>
              <w:t>door</w:t>
            </w:r>
            <w:proofErr w:type="spellEnd"/>
            <w:r w:rsidR="00646ECC" w:rsidRPr="00646ECC">
              <w:rPr>
                <w:rFonts w:cstheme="minorHAnsi"/>
                <w:sz w:val="20"/>
              </w:rPr>
              <w:t xml:space="preserve"> lub równoważna procedura serwisowa na terenie EOG; wsparcie RMA producenta lub autoryzowanego serwisu.</w:t>
            </w:r>
          </w:p>
        </w:tc>
      </w:tr>
    </w:tbl>
    <w:p w:rsidR="00646ECC" w:rsidRPr="00F647E1" w:rsidRDefault="00646ECC" w:rsidP="00646ECC">
      <w:pPr>
        <w:rPr>
          <w:sz w:val="20"/>
          <w:szCs w:val="20"/>
        </w:rPr>
      </w:pPr>
    </w:p>
    <w:p w:rsidR="00646ECC" w:rsidRPr="00F647E1" w:rsidRDefault="00646ECC" w:rsidP="00646ECC">
      <w:pPr>
        <w:rPr>
          <w:sz w:val="20"/>
          <w:szCs w:val="20"/>
        </w:rPr>
      </w:pPr>
    </w:p>
    <w:p w:rsidR="00646ECC" w:rsidRPr="00F647E1" w:rsidRDefault="00646ECC" w:rsidP="00646ECC">
      <w:pPr>
        <w:rPr>
          <w:sz w:val="20"/>
          <w:szCs w:val="20"/>
        </w:rPr>
      </w:pPr>
    </w:p>
    <w:p w:rsidR="00707406" w:rsidRDefault="00203D65"/>
    <w:sectPr w:rsidR="00707406" w:rsidSect="00646ECC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65" w:rsidRDefault="00203D65" w:rsidP="00646ECC">
      <w:r>
        <w:separator/>
      </w:r>
    </w:p>
  </w:endnote>
  <w:endnote w:type="continuationSeparator" w:id="0">
    <w:p w:rsidR="00203D65" w:rsidRDefault="00203D65" w:rsidP="0064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65" w:rsidRDefault="00203D65" w:rsidP="00646ECC">
      <w:r>
        <w:separator/>
      </w:r>
    </w:p>
  </w:footnote>
  <w:footnote w:type="continuationSeparator" w:id="0">
    <w:p w:rsidR="00203D65" w:rsidRDefault="00203D65" w:rsidP="0064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CC" w:rsidRDefault="00646ECC">
    <w:pPr>
      <w:pStyle w:val="Nagwek"/>
    </w:pPr>
    <w:r>
      <w:rPr>
        <w:noProof/>
        <w:lang w:eastAsia="pl-PL"/>
      </w:rPr>
      <w:drawing>
        <wp:inline distT="0" distB="0" distL="0" distR="0" wp14:anchorId="42EDE5C0" wp14:editId="3B93DBD4">
          <wp:extent cx="5760720" cy="596265"/>
          <wp:effectExtent l="0" t="0" r="0" b="0"/>
          <wp:docPr id="4" name="Obraz 4" descr="C:\Users\M.Konopka\Desktop\GOSIA 2026\Postępowania\271.1.2026 Cyberbezpieczny samorząd\materiały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.Konopka\Desktop\GOSIA 2026\Postępowania\271.1.2026 Cyberbezpieczny samorząd\materiały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CC"/>
    <w:rsid w:val="00203D65"/>
    <w:rsid w:val="00252824"/>
    <w:rsid w:val="00646ECC"/>
    <w:rsid w:val="008703B1"/>
    <w:rsid w:val="00A758C2"/>
    <w:rsid w:val="00FA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B6C90"/>
  <w15:chartTrackingRefBased/>
  <w15:docId w15:val="{62F154D6-B178-4042-AE33-766E1F18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6ECC"/>
    <w:pPr>
      <w:spacing w:after="0" w:line="240" w:lineRule="auto"/>
    </w:pPr>
  </w:style>
  <w:style w:type="paragraph" w:styleId="Nagwek2">
    <w:name w:val="heading 2"/>
    <w:aliases w:val="2,SEKCJE nad tabelą"/>
    <w:basedOn w:val="Normalny"/>
    <w:next w:val="Normalny"/>
    <w:link w:val="Nagwek2Znak"/>
    <w:autoRedefine/>
    <w:uiPriority w:val="9"/>
    <w:unhideWhenUsed/>
    <w:qFormat/>
    <w:rsid w:val="00646ECC"/>
    <w:pPr>
      <w:keepNext/>
      <w:keepLines/>
      <w:tabs>
        <w:tab w:val="left" w:pos="284"/>
      </w:tabs>
      <w:spacing w:before="40"/>
      <w:ind w:left="284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ECC"/>
  </w:style>
  <w:style w:type="paragraph" w:styleId="Stopka">
    <w:name w:val="footer"/>
    <w:basedOn w:val="Normalny"/>
    <w:link w:val="StopkaZnak"/>
    <w:uiPriority w:val="99"/>
    <w:unhideWhenUsed/>
    <w:rsid w:val="00646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ECC"/>
  </w:style>
  <w:style w:type="character" w:customStyle="1" w:styleId="Nagwek2Znak">
    <w:name w:val="Nagłówek 2 Znak"/>
    <w:aliases w:val="2 Znak,SEKCJE nad tabelą Znak"/>
    <w:basedOn w:val="Domylnaczcionkaakapitu"/>
    <w:link w:val="Nagwek2"/>
    <w:uiPriority w:val="9"/>
    <w:rsid w:val="00646ECC"/>
    <w:rPr>
      <w:rFonts w:ascii="Calibri" w:eastAsiaTheme="majorEastAsia" w:hAnsi="Calibri" w:cstheme="majorBidi"/>
      <w:b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informatyk@dalikow.eu</dc:creator>
  <cp:keywords/>
  <dc:description/>
  <cp:lastModifiedBy>informatyk@dalikow.eu</cp:lastModifiedBy>
  <cp:revision>2</cp:revision>
  <dcterms:created xsi:type="dcterms:W3CDTF">2026-01-23T13:37:00Z</dcterms:created>
  <dcterms:modified xsi:type="dcterms:W3CDTF">2026-02-16T11:43:00Z</dcterms:modified>
</cp:coreProperties>
</file>